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"/>
        </w:rPr>
        <w:t>广西科技大学青年教师教学竞赛申请表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079"/>
        <w:gridCol w:w="719"/>
        <w:gridCol w:w="899"/>
        <w:gridCol w:w="539"/>
        <w:gridCol w:w="359"/>
        <w:gridCol w:w="359"/>
        <w:gridCol w:w="539"/>
        <w:gridCol w:w="71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  别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（大学开始）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（提示：学习经历要注明起止时间、学校、所学专业、学位；填表时删除，下同。）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近两年主讲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课程情况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（提示：结合课程参赛内容，针对附件2、3、4的评分要点简要自我评价，不必全面，特点与亮点即可。）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发表教学论文、著作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（5篇/部内）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（提示：按参考文献格式列出。）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主持、参与教学改革项目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（5项内）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教学奖励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（5项内）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（提示：分管教学领导签字，加盖单位公章）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领导签字（公章）：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2016年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（可加页）</w:t>
      </w:r>
      <w:bookmarkStart w:id="0" w:name="_GoBack"/>
      <w:bookmarkEnd w:id="0"/>
    </w:p>
    <w:sectPr>
      <w:pgSz w:w="11906" w:h="16838"/>
      <w:pgMar w:top="2098" w:right="1474" w:bottom="1985" w:left="1588" w:header="851" w:footer="1559" w:gutter="0"/>
      <w:paperSrc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17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2016-05-27T01:45:05Z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